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B17F5">
        <w:rPr>
          <w:rFonts w:ascii="Palatino Linotype" w:hAnsi="Palatino Linotype" w:cs="Arial"/>
          <w:b/>
        </w:rPr>
        <w:t>TRIGÉSI</w:t>
      </w:r>
      <w:r w:rsidR="00BA2BC9">
        <w:rPr>
          <w:rFonts w:ascii="Palatino Linotype" w:hAnsi="Palatino Linotype" w:cs="Arial"/>
          <w:b/>
        </w:rPr>
        <w:t>MA SÉPTIMA</w:t>
      </w:r>
      <w:r>
        <w:rPr>
          <w:rFonts w:ascii="Palatino Linotype" w:hAnsi="Palatino Linotype" w:cs="Arial"/>
          <w:b/>
        </w:rPr>
        <w:t xml:space="preserve"> SESIÓN ORDINARIA DE</w:t>
      </w:r>
      <w:r w:rsidR="005B4F98">
        <w:rPr>
          <w:rFonts w:ascii="Palatino Linotype" w:hAnsi="Palatino Linotype" w:cs="Arial"/>
          <w:b/>
        </w:rPr>
        <w:t xml:space="preserve"> </w:t>
      </w:r>
      <w:r w:rsidR="004B17F5">
        <w:rPr>
          <w:rFonts w:ascii="Palatino Linotype" w:hAnsi="Palatino Linotype" w:cs="Arial"/>
          <w:b/>
        </w:rPr>
        <w:t>DIEZ DE OCTUBRE</w:t>
      </w:r>
      <w:r w:rsidR="00255F32">
        <w:rPr>
          <w:rFonts w:ascii="Palatino Linotype" w:hAnsi="Palatino Linotype" w:cs="Arial"/>
          <w:b/>
        </w:rPr>
        <w:t xml:space="preserve"> </w:t>
      </w:r>
      <w:r w:rsidR="00C5286C">
        <w:rPr>
          <w:rFonts w:ascii="Palatino Linotype" w:hAnsi="Palatino Linotype" w:cs="Arial"/>
          <w:b/>
        </w:rPr>
        <w:t>DE DOS MIL DIECIOCHO</w:t>
      </w:r>
      <w:r w:rsidRPr="0007653D">
        <w:rPr>
          <w:rFonts w:ascii="Palatino Linotype" w:hAnsi="Palatino Linotype" w:cs="Arial"/>
          <w:b/>
        </w:rPr>
        <w:t xml:space="preserve">, EN </w:t>
      </w:r>
      <w:r>
        <w:rPr>
          <w:rFonts w:ascii="Palatino Linotype" w:hAnsi="Palatino Linotype" w:cs="Arial"/>
          <w:b/>
        </w:rPr>
        <w:t xml:space="preserve">EL </w:t>
      </w:r>
      <w:r w:rsidRPr="0007653D">
        <w:rPr>
          <w:rFonts w:ascii="Palatino Linotype" w:hAnsi="Palatino Linotype" w:cs="Arial"/>
          <w:b/>
        </w:rPr>
        <w:t>RECURSO DE REVISIÓN 0</w:t>
      </w:r>
      <w:r w:rsidR="004B17F5">
        <w:rPr>
          <w:rFonts w:ascii="Palatino Linotype" w:hAnsi="Palatino Linotype" w:cs="Arial"/>
          <w:b/>
        </w:rPr>
        <w:t>2995</w:t>
      </w:r>
      <w:r w:rsidRPr="0007653D">
        <w:rPr>
          <w:rFonts w:ascii="Palatino Linotype" w:hAnsi="Palatino Linotype" w:cs="Arial"/>
          <w:b/>
        </w:rPr>
        <w:t>/INFOEM/IP/RR/201</w:t>
      </w:r>
      <w:r w:rsidR="00E610EB">
        <w:rPr>
          <w:rFonts w:ascii="Palatino Linotype" w:hAnsi="Palatino Linotype" w:cs="Arial"/>
          <w:b/>
        </w:rPr>
        <w:t>8</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Pr="0007653D">
        <w:rPr>
          <w:rFonts w:ascii="Palatino Linotype" w:hAnsi="Palatino Linotype" w:cs="Arial"/>
          <w:b/>
        </w:rPr>
        <w:t>0</w:t>
      </w:r>
      <w:r w:rsidR="003D683A">
        <w:rPr>
          <w:rFonts w:ascii="Palatino Linotype" w:hAnsi="Palatino Linotype" w:cs="Arial"/>
          <w:b/>
        </w:rPr>
        <w:t>2995</w:t>
      </w:r>
      <w:r w:rsidR="00255F32">
        <w:rPr>
          <w:rFonts w:ascii="Palatino Linotype" w:hAnsi="Palatino Linotype" w:cs="Arial"/>
          <w:b/>
        </w:rPr>
        <w:t>/</w:t>
      </w:r>
      <w:r w:rsidRPr="0007653D">
        <w:rPr>
          <w:rFonts w:ascii="Palatino Linotype" w:hAnsi="Palatino Linotype" w:cs="Arial"/>
          <w:b/>
        </w:rPr>
        <w:t>INFOEM/IP/RR/201</w:t>
      </w:r>
      <w:r w:rsidR="00E610EB">
        <w:rPr>
          <w:rFonts w:ascii="Palatino Linotype" w:hAnsi="Palatino Linotype" w:cs="Arial"/>
          <w:b/>
        </w:rPr>
        <w:t>8</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3D683A">
        <w:rPr>
          <w:rFonts w:ascii="Palatino Linotype" w:hAnsi="Palatino Linotype" w:cs="Arial"/>
        </w:rPr>
        <w:t>la</w:t>
      </w:r>
      <w:r w:rsidRPr="00E42755">
        <w:rPr>
          <w:rFonts w:ascii="Palatino Linotype" w:hAnsi="Palatino Linotype" w:cs="Arial"/>
        </w:rPr>
        <w:t xml:space="preserve"> Comisionad</w:t>
      </w:r>
      <w:r w:rsidR="003D683A">
        <w:rPr>
          <w:rFonts w:ascii="Palatino Linotype" w:hAnsi="Palatino Linotype" w:cs="Arial"/>
        </w:rPr>
        <w:t>a Presidenta</w:t>
      </w:r>
      <w:r>
        <w:rPr>
          <w:rFonts w:ascii="Palatino Linotype" w:hAnsi="Palatino Linotype" w:cs="Arial"/>
        </w:rPr>
        <w:t xml:space="preserve"> </w:t>
      </w:r>
      <w:r w:rsidR="003D683A">
        <w:rPr>
          <w:rFonts w:ascii="Palatino Linotype" w:hAnsi="Palatino Linotype" w:cs="Arial"/>
          <w:b/>
        </w:rPr>
        <w:t>ZULEMA MARTÍNEZ SÁNCHEZ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proofErr w:type="gramStart"/>
      <w:r w:rsidRPr="00D93A88">
        <w:rPr>
          <w:rFonts w:ascii="Palatino Linotype" w:hAnsi="Palatino Linotype"/>
        </w:rPr>
        <w:t>recurso</w:t>
      </w:r>
      <w:proofErr w:type="gramEnd"/>
      <w:r w:rsidRPr="00D93A88">
        <w:rPr>
          <w:rFonts w:ascii="Palatino Linotype" w:hAnsi="Palatino Linotype"/>
        </w:rPr>
        <w:t xml:space="preserve">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833BC7">
        <w:rPr>
          <w:rFonts w:ascii="Palatino Linotype" w:hAnsi="Palatino Linotype"/>
        </w:rPr>
        <w:t xml:space="preserve">, tocante a parte de la fundamentación inmersa </w:t>
      </w:r>
      <w:r w:rsidR="003D683A">
        <w:rPr>
          <w:rFonts w:ascii="Palatino Linotype" w:hAnsi="Palatino Linotype"/>
        </w:rPr>
        <w:t>en el resolutivo TERCERO</w:t>
      </w:r>
      <w:r w:rsidR="00D21672">
        <w:rPr>
          <w:rFonts w:ascii="Palatino Linotype" w:hAnsi="Palatino Linotype"/>
        </w:rPr>
        <w:t xml:space="preserve"> </w:t>
      </w:r>
      <w:r>
        <w:rPr>
          <w:rFonts w:ascii="Palatino Linotype" w:hAnsi="Palatino Linotype"/>
        </w:rPr>
        <w:t>de la resolución correspondiente</w:t>
      </w:r>
      <w:r w:rsidRPr="00D93A88">
        <w:rPr>
          <w:rFonts w:ascii="Palatino Linotype" w:hAnsi="Palatino Linotype"/>
        </w:rPr>
        <w:t>.</w:t>
      </w:r>
    </w:p>
    <w:p w:rsidR="004D34A9" w:rsidRDefault="00F7009C" w:rsidP="004B17F5">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 xml:space="preserve">rió en lo medular de la </w:t>
      </w:r>
      <w:r w:rsidR="006078FA" w:rsidRPr="006078FA">
        <w:rPr>
          <w:rFonts w:ascii="Palatino Linotype" w:hAnsi="Palatino Linotype"/>
        </w:rPr>
        <w:t>Universidad Politécnica del Valle de Toluca</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4D34A9">
        <w:rPr>
          <w:rFonts w:ascii="Palatino Linotype" w:hAnsi="Palatino Linotype"/>
        </w:rPr>
        <w:t>la siguiente información:</w:t>
      </w:r>
    </w:p>
    <w:p w:rsidR="00D21672" w:rsidRDefault="004D34A9" w:rsidP="004D34A9">
      <w:pPr>
        <w:ind w:left="567" w:right="567"/>
        <w:jc w:val="both"/>
        <w:rPr>
          <w:rFonts w:ascii="Palatino Linotype" w:hAnsi="Palatino Linotype"/>
          <w:i/>
          <w:sz w:val="22"/>
          <w:szCs w:val="22"/>
          <w:lang w:val="es-ES_tradnl"/>
        </w:rPr>
      </w:pPr>
      <w:r w:rsidRPr="004D34A9">
        <w:rPr>
          <w:rFonts w:ascii="Palatino Linotype" w:hAnsi="Palatino Linotype"/>
          <w:i/>
          <w:sz w:val="22"/>
          <w:szCs w:val="22"/>
          <w:lang w:val="es-ES_tradnl"/>
        </w:rPr>
        <w:lastRenderedPageBreak/>
        <w:t xml:space="preserve">“Ahora que estamos entrenado a la cuarta transformación de nuestro país y que el combate a la corrupción es un tema fundamental en el quehacer de cualquier gobierno de cualquier nivel, resulta importante el rol que desarrollan las </w:t>
      </w:r>
      <w:proofErr w:type="spellStart"/>
      <w:r w:rsidRPr="004D34A9">
        <w:rPr>
          <w:rFonts w:ascii="Palatino Linotype" w:hAnsi="Palatino Linotype"/>
          <w:i/>
          <w:sz w:val="22"/>
          <w:szCs w:val="22"/>
          <w:lang w:val="es-ES_tradnl"/>
        </w:rPr>
        <w:t>contralorias</w:t>
      </w:r>
      <w:proofErr w:type="spellEnd"/>
      <w:r w:rsidRPr="004D34A9">
        <w:rPr>
          <w:rFonts w:ascii="Palatino Linotype" w:hAnsi="Palatino Linotype"/>
          <w:i/>
          <w:sz w:val="22"/>
          <w:szCs w:val="22"/>
          <w:lang w:val="es-ES_tradnl"/>
        </w:rPr>
        <w:t xml:space="preserve"> u órganos internos de control, por ello deseo saber </w:t>
      </w:r>
      <w:proofErr w:type="spellStart"/>
      <w:r w:rsidRPr="004D34A9">
        <w:rPr>
          <w:rFonts w:ascii="Palatino Linotype" w:hAnsi="Palatino Linotype"/>
          <w:i/>
          <w:sz w:val="22"/>
          <w:szCs w:val="22"/>
          <w:lang w:val="es-ES_tradnl"/>
        </w:rPr>
        <w:t>que</w:t>
      </w:r>
      <w:proofErr w:type="spellEnd"/>
      <w:r w:rsidRPr="004D34A9">
        <w:rPr>
          <w:rFonts w:ascii="Palatino Linotype" w:hAnsi="Palatino Linotype"/>
          <w:i/>
          <w:sz w:val="22"/>
          <w:szCs w:val="22"/>
          <w:lang w:val="es-ES_tradnl"/>
        </w:rPr>
        <w:t xml:space="preserve"> acciones o medidas ha tomado la actual contraloría u órgano interno de control de ese organismo para evitar, combatir, erradicar y en su momento castigar la corrupción de cualquier tipo que en su caso, puedan incurrir los servidores públicos, proveedores, prestadores de servicio y </w:t>
      </w:r>
      <w:proofErr w:type="spellStart"/>
      <w:r w:rsidRPr="004D34A9">
        <w:rPr>
          <w:rFonts w:ascii="Palatino Linotype" w:hAnsi="Palatino Linotype"/>
          <w:i/>
          <w:sz w:val="22"/>
          <w:szCs w:val="22"/>
          <w:lang w:val="es-ES_tradnl"/>
        </w:rPr>
        <w:t>publico</w:t>
      </w:r>
      <w:proofErr w:type="spellEnd"/>
      <w:r w:rsidRPr="004D34A9">
        <w:rPr>
          <w:rFonts w:ascii="Palatino Linotype" w:hAnsi="Palatino Linotype"/>
          <w:i/>
          <w:sz w:val="22"/>
          <w:szCs w:val="22"/>
          <w:lang w:val="es-ES_tradnl"/>
        </w:rPr>
        <w:t xml:space="preserve"> o usuarios en general de ese organismo; deseo saber si durante la presente administración municipal dicha área ha realizado algún tipo de auditoria a las áreas de ese organismo (enlistar a cuales) y </w:t>
      </w:r>
      <w:proofErr w:type="spellStart"/>
      <w:r w:rsidRPr="004D34A9">
        <w:rPr>
          <w:rFonts w:ascii="Palatino Linotype" w:hAnsi="Palatino Linotype"/>
          <w:i/>
          <w:sz w:val="22"/>
          <w:szCs w:val="22"/>
          <w:lang w:val="es-ES_tradnl"/>
        </w:rPr>
        <w:t>cual</w:t>
      </w:r>
      <w:proofErr w:type="spellEnd"/>
      <w:r w:rsidRPr="004D34A9">
        <w:rPr>
          <w:rFonts w:ascii="Palatino Linotype" w:hAnsi="Palatino Linotype"/>
          <w:i/>
          <w:sz w:val="22"/>
          <w:szCs w:val="22"/>
          <w:lang w:val="es-ES_tradnl"/>
        </w:rPr>
        <w:t xml:space="preserve"> ha sido el resultado de ellas finalizadas, así como saber si han satisfecho sus observaciones o recomendaciones; quisiera saber </w:t>
      </w:r>
      <w:proofErr w:type="spellStart"/>
      <w:r w:rsidRPr="004D34A9">
        <w:rPr>
          <w:rFonts w:ascii="Palatino Linotype" w:hAnsi="Palatino Linotype"/>
          <w:i/>
          <w:sz w:val="22"/>
          <w:szCs w:val="22"/>
          <w:lang w:val="es-ES_tradnl"/>
        </w:rPr>
        <w:t>cual</w:t>
      </w:r>
      <w:proofErr w:type="spellEnd"/>
      <w:r w:rsidRPr="004D34A9">
        <w:rPr>
          <w:rFonts w:ascii="Palatino Linotype" w:hAnsi="Palatino Linotype"/>
          <w:i/>
          <w:sz w:val="22"/>
          <w:szCs w:val="22"/>
          <w:lang w:val="es-ES_tradnl"/>
        </w:rPr>
        <w:t xml:space="preserve"> o cuales son los motivos por los que tienen muy pocas resoluciones de procedimientos administrativos emitidos por dicha área publicados en su </w:t>
      </w:r>
      <w:proofErr w:type="spellStart"/>
      <w:r w:rsidRPr="004D34A9">
        <w:rPr>
          <w:rFonts w:ascii="Palatino Linotype" w:hAnsi="Palatino Linotype"/>
          <w:i/>
          <w:sz w:val="22"/>
          <w:szCs w:val="22"/>
          <w:lang w:val="es-ES_tradnl"/>
        </w:rPr>
        <w:t>pagina</w:t>
      </w:r>
      <w:proofErr w:type="spellEnd"/>
      <w:r w:rsidRPr="004D34A9">
        <w:rPr>
          <w:rFonts w:ascii="Palatino Linotype" w:hAnsi="Palatino Linotype"/>
          <w:i/>
          <w:sz w:val="22"/>
          <w:szCs w:val="22"/>
          <w:lang w:val="es-ES_tradnl"/>
        </w:rPr>
        <w:t xml:space="preserve"> de internet, como radicados, sustanciados y resueltos por la contraloría u órgano interno de control; porqué transgrede frecuentemente dicha área los principios de prontitud, </w:t>
      </w:r>
      <w:proofErr w:type="spellStart"/>
      <w:r w:rsidRPr="004D34A9">
        <w:rPr>
          <w:rFonts w:ascii="Palatino Linotype" w:hAnsi="Palatino Linotype"/>
          <w:i/>
          <w:sz w:val="22"/>
          <w:szCs w:val="22"/>
          <w:lang w:val="es-ES_tradnl"/>
        </w:rPr>
        <w:t>expeditez</w:t>
      </w:r>
      <w:proofErr w:type="spellEnd"/>
      <w:r w:rsidRPr="004D34A9">
        <w:rPr>
          <w:rFonts w:ascii="Palatino Linotype" w:hAnsi="Palatino Linotype"/>
          <w:i/>
          <w:sz w:val="22"/>
          <w:szCs w:val="22"/>
          <w:lang w:val="es-ES_tradnl"/>
        </w:rPr>
        <w:t xml:space="preserve">, impulso procesal de oficio, preclusión procesal, economía procesal, celeridad procesal, </w:t>
      </w:r>
      <w:proofErr w:type="spellStart"/>
      <w:r w:rsidRPr="004D34A9">
        <w:rPr>
          <w:rFonts w:ascii="Palatino Linotype" w:hAnsi="Palatino Linotype"/>
          <w:i/>
          <w:sz w:val="22"/>
          <w:szCs w:val="22"/>
          <w:lang w:val="es-ES_tradnl"/>
        </w:rPr>
        <w:t>etc</w:t>
      </w:r>
      <w:proofErr w:type="spellEnd"/>
      <w:r w:rsidRPr="004D34A9">
        <w:rPr>
          <w:rFonts w:ascii="Palatino Linotype" w:hAnsi="Palatino Linotype"/>
          <w:i/>
          <w:sz w:val="22"/>
          <w:szCs w:val="22"/>
          <w:lang w:val="es-ES_tradnl"/>
        </w:rPr>
        <w:t>, es decir, tardan mucho más del tiempo, plazos o periodos establecidos en la ley para resolver sus asuntos (meses e incluso años), no obstante que casi en todos realizan las mismas actuaciones y llegan al mismo resultado; quisiera saber si su titular de la contraloría u órgano interno de control está certificado para el buen manejo de dicha área, de ser así, favor de enviar por este medio el documento que de constancia de ello, de no serlo, explicar el motivo por el cual no se ha certificado.” (</w:t>
      </w:r>
      <w:proofErr w:type="gramStart"/>
      <w:r w:rsidRPr="004D34A9">
        <w:rPr>
          <w:rFonts w:ascii="Palatino Linotype" w:hAnsi="Palatino Linotype"/>
          <w:i/>
          <w:sz w:val="22"/>
          <w:szCs w:val="22"/>
          <w:lang w:val="es-ES_tradnl"/>
        </w:rPr>
        <w:t>sic</w:t>
      </w:r>
      <w:proofErr w:type="gramEnd"/>
      <w:r w:rsidRPr="004D34A9">
        <w:rPr>
          <w:rFonts w:ascii="Palatino Linotype" w:hAnsi="Palatino Linotype"/>
          <w:i/>
          <w:sz w:val="22"/>
          <w:szCs w:val="22"/>
          <w:lang w:val="es-ES_tradnl"/>
        </w:rPr>
        <w:t>)</w:t>
      </w:r>
    </w:p>
    <w:p w:rsidR="004D34A9" w:rsidRPr="004D34A9" w:rsidRDefault="004D34A9" w:rsidP="004D34A9">
      <w:pPr>
        <w:ind w:left="567" w:right="567"/>
        <w:jc w:val="both"/>
        <w:rPr>
          <w:rFonts w:ascii="Palatino Linotype" w:hAnsi="Palatino Linotype"/>
          <w:i/>
          <w:sz w:val="22"/>
          <w:szCs w:val="22"/>
          <w:lang w:val="es-ES_tradnl"/>
        </w:rPr>
      </w:pPr>
    </w:p>
    <w:p w:rsidR="000D1731" w:rsidRDefault="00F7009C" w:rsidP="004B17F5">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243881">
        <w:rPr>
          <w:rFonts w:ascii="Palatino Linotype" w:hAnsi="Palatino Linotype" w:cs="Arial"/>
        </w:rPr>
        <w:t xml:space="preserve"> remitió las respuestas a los diversos cuestionamientos realizados por el particular.</w:t>
      </w:r>
      <w:r w:rsidR="00716A47">
        <w:rPr>
          <w:rFonts w:ascii="Palatino Linotype" w:hAnsi="Palatino Linotype" w:cs="Arial"/>
        </w:rPr>
        <w:t xml:space="preserve">  </w:t>
      </w:r>
    </w:p>
    <w:p w:rsidR="000D1731" w:rsidRPr="006B517F" w:rsidRDefault="000D1731" w:rsidP="004B17F5">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interpuso el recurso de revisión de mérito, manifestando como razones o motivos de inconformidad lo siguiente:</w:t>
      </w:r>
    </w:p>
    <w:p w:rsidR="000D1731" w:rsidRDefault="000D1731" w:rsidP="00BA2BC9">
      <w:pPr>
        <w:spacing w:before="100" w:beforeAutospacing="1" w:after="100" w:afterAutospacing="1"/>
        <w:ind w:left="709" w:right="1041"/>
        <w:jc w:val="both"/>
        <w:rPr>
          <w:rFonts w:ascii="Palatino Linotype" w:hAnsi="Palatino Linotype" w:cs="Arial"/>
          <w:i/>
          <w:sz w:val="22"/>
        </w:rPr>
      </w:pPr>
      <w:r w:rsidRPr="00F04F4E">
        <w:rPr>
          <w:rFonts w:ascii="Palatino Linotype" w:hAnsi="Palatino Linotype" w:cs="Arial"/>
          <w:i/>
          <w:sz w:val="22"/>
        </w:rPr>
        <w:t>“</w:t>
      </w:r>
      <w:r w:rsidR="00243881" w:rsidRPr="00243881">
        <w:rPr>
          <w:rFonts w:ascii="Palatino Linotype" w:hAnsi="Palatino Linotype" w:cs="Arial"/>
          <w:i/>
          <w:sz w:val="22"/>
        </w:rPr>
        <w:t xml:space="preserve">Omite contestar la totalidad de las preguntas, las que atiende lo hace de manera ambigua y oscura. A la Pregunta 1. Dice que ha tomado varias medidas, sin embargo sólo explica una, y esta es disciplinaria correctiva, cuando también se le preguntan las medidas para evitar, combatir y erradicar, además solo se refiere a los servidores públicos de su organismo, cuando también se le pregunta sobre los usuarios, </w:t>
      </w:r>
      <w:r w:rsidR="00243881" w:rsidRPr="00243881">
        <w:rPr>
          <w:rFonts w:ascii="Palatino Linotype" w:hAnsi="Palatino Linotype" w:cs="Arial"/>
          <w:i/>
          <w:sz w:val="22"/>
        </w:rPr>
        <w:lastRenderedPageBreak/>
        <w:t xml:space="preserve">proveedores, prestadores de servicio y </w:t>
      </w:r>
      <w:proofErr w:type="spellStart"/>
      <w:r w:rsidR="00243881" w:rsidRPr="00243881">
        <w:rPr>
          <w:rFonts w:ascii="Palatino Linotype" w:hAnsi="Palatino Linotype" w:cs="Arial"/>
          <w:i/>
          <w:sz w:val="22"/>
        </w:rPr>
        <w:t>publico</w:t>
      </w:r>
      <w:proofErr w:type="spellEnd"/>
      <w:r w:rsidR="00243881" w:rsidRPr="00243881">
        <w:rPr>
          <w:rFonts w:ascii="Palatino Linotype" w:hAnsi="Palatino Linotype" w:cs="Arial"/>
          <w:i/>
          <w:sz w:val="22"/>
        </w:rPr>
        <w:t xml:space="preserve"> en general. A la Pregunta 2. Dice que ha realizado </w:t>
      </w:r>
      <w:proofErr w:type="spellStart"/>
      <w:r w:rsidR="00243881" w:rsidRPr="00243881">
        <w:rPr>
          <w:rFonts w:ascii="Palatino Linotype" w:hAnsi="Palatino Linotype" w:cs="Arial"/>
          <w:i/>
          <w:sz w:val="22"/>
        </w:rPr>
        <w:t>auditorias</w:t>
      </w:r>
      <w:proofErr w:type="spellEnd"/>
      <w:r w:rsidR="00243881" w:rsidRPr="00243881">
        <w:rPr>
          <w:rFonts w:ascii="Palatino Linotype" w:hAnsi="Palatino Linotype" w:cs="Arial"/>
          <w:i/>
          <w:sz w:val="22"/>
        </w:rPr>
        <w:t xml:space="preserve"> a diversas áreas de la dirección de finanzas pero no dice a </w:t>
      </w:r>
      <w:proofErr w:type="spellStart"/>
      <w:r w:rsidR="00243881" w:rsidRPr="00243881">
        <w:rPr>
          <w:rFonts w:ascii="Palatino Linotype" w:hAnsi="Palatino Linotype" w:cs="Arial"/>
          <w:i/>
          <w:sz w:val="22"/>
        </w:rPr>
        <w:t>que</w:t>
      </w:r>
      <w:proofErr w:type="spellEnd"/>
      <w:r w:rsidR="00243881" w:rsidRPr="00243881">
        <w:rPr>
          <w:rFonts w:ascii="Palatino Linotype" w:hAnsi="Palatino Linotype" w:cs="Arial"/>
          <w:i/>
          <w:sz w:val="22"/>
        </w:rPr>
        <w:t xml:space="preserve"> áreas y eso se le solicitó, dice que tuvieron observaciones pero no dice cuales, dice que las solventaron pero no dice </w:t>
      </w:r>
      <w:proofErr w:type="spellStart"/>
      <w:r w:rsidR="00243881" w:rsidRPr="00243881">
        <w:rPr>
          <w:rFonts w:ascii="Palatino Linotype" w:hAnsi="Palatino Linotype" w:cs="Arial"/>
          <w:i/>
          <w:sz w:val="22"/>
        </w:rPr>
        <w:t>como</w:t>
      </w:r>
      <w:proofErr w:type="spellEnd"/>
      <w:r w:rsidR="00243881" w:rsidRPr="00243881">
        <w:rPr>
          <w:rFonts w:ascii="Palatino Linotype" w:hAnsi="Palatino Linotype" w:cs="Arial"/>
          <w:i/>
          <w:sz w:val="22"/>
        </w:rPr>
        <w:t xml:space="preserve">. A la Pregunta 4. Dice que es garante de los principios de prontitud, </w:t>
      </w:r>
      <w:proofErr w:type="spellStart"/>
      <w:r w:rsidR="00243881" w:rsidRPr="00243881">
        <w:rPr>
          <w:rFonts w:ascii="Palatino Linotype" w:hAnsi="Palatino Linotype" w:cs="Arial"/>
          <w:i/>
          <w:sz w:val="22"/>
        </w:rPr>
        <w:t>expeditez</w:t>
      </w:r>
      <w:proofErr w:type="spellEnd"/>
      <w:r w:rsidR="00243881" w:rsidRPr="00243881">
        <w:rPr>
          <w:rFonts w:ascii="Palatino Linotype" w:hAnsi="Palatino Linotype" w:cs="Arial"/>
          <w:i/>
          <w:sz w:val="22"/>
        </w:rPr>
        <w:t xml:space="preserve">, impulso procesal de oficio, preclusión procesal, economía procesal, celeridad procesal, cuando es más que evidente que no es así ya que lo demuestran sus propias resoluciones publicadas, dice que resuelve dentro de los plazos establecidos, en esta pregunta inclusive es temeraria en afirmar que su proceder es ajustado a derecho cuando es evidente que no es así. No obstante de transgredir claramente dichos principios procesales, falsea las respuestas. Finalmente omite enviar la documentación que se pide </w:t>
      </w:r>
      <w:r w:rsidRPr="00F04F4E">
        <w:rPr>
          <w:rFonts w:ascii="Palatino Linotype" w:hAnsi="Palatino Linotype" w:cs="Arial"/>
          <w:i/>
          <w:sz w:val="22"/>
        </w:rPr>
        <w:t>“</w:t>
      </w:r>
      <w:r>
        <w:rPr>
          <w:rFonts w:ascii="Palatino Linotype" w:hAnsi="Palatino Linotype" w:cs="Arial"/>
          <w:i/>
          <w:sz w:val="22"/>
        </w:rPr>
        <w:t>(</w:t>
      </w:r>
      <w:r w:rsidRPr="00F04F4E">
        <w:rPr>
          <w:rFonts w:ascii="Palatino Linotype" w:hAnsi="Palatino Linotype" w:cs="Arial"/>
          <w:i/>
          <w:sz w:val="22"/>
        </w:rPr>
        <w:t>Sic)</w:t>
      </w:r>
    </w:p>
    <w:p w:rsidR="00D21672" w:rsidRDefault="00716A47" w:rsidP="004B17F5">
      <w:pPr>
        <w:spacing w:before="100" w:beforeAutospacing="1" w:after="100" w:afterAutospacing="1" w:line="360" w:lineRule="auto"/>
        <w:ind w:right="49"/>
        <w:jc w:val="both"/>
        <w:rPr>
          <w:rFonts w:ascii="Palatino Linotype" w:hAnsi="Palatino Linotype"/>
        </w:rPr>
      </w:pPr>
      <w:r>
        <w:rPr>
          <w:rFonts w:ascii="Palatino Linotype" w:hAnsi="Palatino Linotype" w:cs="Arial"/>
        </w:rPr>
        <w:t xml:space="preserve">Asimismo, </w:t>
      </w:r>
      <w:r w:rsidR="00B86746" w:rsidRPr="00B86746">
        <w:rPr>
          <w:rFonts w:ascii="Palatino Linotype" w:hAnsi="Palatino Linotype" w:cs="Arial"/>
          <w:b/>
        </w:rPr>
        <w:t>EL SUJETO OBLIGADO</w:t>
      </w:r>
      <w:r w:rsidR="00BA2BC9">
        <w:rPr>
          <w:rFonts w:ascii="Palatino Linotype" w:hAnsi="Palatino Linotype" w:cs="Arial"/>
          <w:b/>
        </w:rPr>
        <w:t xml:space="preserve"> </w:t>
      </w:r>
      <w:r w:rsidR="00844AA1">
        <w:rPr>
          <w:rFonts w:ascii="Palatino Linotype" w:hAnsi="Palatino Linotype" w:cs="Arial"/>
        </w:rPr>
        <w:t>remitió</w:t>
      </w:r>
      <w:r w:rsidR="00B86746">
        <w:rPr>
          <w:rFonts w:ascii="Palatino Linotype" w:hAnsi="Palatino Linotype" w:cs="Arial"/>
        </w:rPr>
        <w:t xml:space="preserve"> </w:t>
      </w:r>
      <w:r w:rsidR="006078FA">
        <w:rPr>
          <w:rFonts w:ascii="Palatino Linotype" w:hAnsi="Palatino Linotype" w:cs="Arial"/>
        </w:rPr>
        <w:t>a través de su Informe Justificado</w:t>
      </w:r>
      <w:r w:rsidR="00844AA1">
        <w:rPr>
          <w:rFonts w:ascii="Palatino Linotype" w:hAnsi="Palatino Linotype" w:cs="Arial"/>
        </w:rPr>
        <w:t xml:space="preserve"> la </w:t>
      </w:r>
      <w:r w:rsidR="00844AA1" w:rsidRPr="00E536F5">
        <w:rPr>
          <w:rFonts w:ascii="Palatino Linotype" w:hAnsi="Palatino Linotype" w:cs="Arial"/>
        </w:rPr>
        <w:t>constancia de certificación de la Titular del Órgano Interno de Control</w:t>
      </w:r>
      <w:r w:rsidR="00996659" w:rsidRPr="005228B4">
        <w:rPr>
          <w:rFonts w:ascii="Palatino Linotype" w:eastAsia="Calibri" w:hAnsi="Palatino Linotype"/>
        </w:rPr>
        <w:t>.</w:t>
      </w:r>
    </w:p>
    <w:p w:rsidR="00D21672" w:rsidRDefault="00F7009C" w:rsidP="004B17F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844AA1" w:rsidRPr="00AB7173">
        <w:rPr>
          <w:rFonts w:ascii="Palatino Linotype" w:hAnsi="Palatino Linotype" w:cs="Arial"/>
          <w:b/>
        </w:rPr>
        <w:t>SOBRESEER</w:t>
      </w:r>
      <w:r w:rsidR="00AB7173">
        <w:rPr>
          <w:rFonts w:ascii="Palatino Linotype" w:hAnsi="Palatino Linotype" w:cs="Arial"/>
        </w:rPr>
        <w:t xml:space="preserve"> el recurso de revisión de mérito en razón de haber quedado sin materia.</w:t>
      </w:r>
    </w:p>
    <w:p w:rsidR="006078FA" w:rsidRDefault="00F7009C" w:rsidP="004B17F5">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con el sentido de la resolución e</w:t>
      </w:r>
      <w:r w:rsidR="00645B0C">
        <w:rPr>
          <w:rFonts w:ascii="Palatino Linotype" w:hAnsi="Palatino Linotype" w:cs="Arial"/>
        </w:rPr>
        <w:t>n comento, considero, que no se encuad</w:t>
      </w:r>
      <w:r w:rsidR="008A03F8">
        <w:rPr>
          <w:rFonts w:ascii="Palatino Linotype" w:hAnsi="Palatino Linotype" w:cs="Arial"/>
        </w:rPr>
        <w:t>ra la hipótesis</w:t>
      </w:r>
      <w:r w:rsidR="00D45865">
        <w:rPr>
          <w:rFonts w:ascii="Palatino Linotype" w:hAnsi="Palatino Linotype" w:cs="Arial"/>
        </w:rPr>
        <w:t xml:space="preserve"> contenida en</w:t>
      </w:r>
      <w:r w:rsidR="008A03F8">
        <w:rPr>
          <w:rFonts w:ascii="Palatino Linotype" w:hAnsi="Palatino Linotype" w:cs="Arial"/>
        </w:rPr>
        <w:t xml:space="preserve"> los artículos 159 y 160 de la Ley General de Transparencia y Acceso a la Información Pública citados por la </w:t>
      </w:r>
      <w:r w:rsidR="00D45865">
        <w:rPr>
          <w:rFonts w:ascii="Palatino Linotype" w:hAnsi="Palatino Linotype" w:cs="Arial"/>
        </w:rPr>
        <w:t xml:space="preserve">Ponencia </w:t>
      </w:r>
      <w:proofErr w:type="spellStart"/>
      <w:r w:rsidR="00D45865">
        <w:rPr>
          <w:rFonts w:ascii="Palatino Linotype" w:hAnsi="Palatino Linotype" w:cs="Arial"/>
        </w:rPr>
        <w:t>R</w:t>
      </w:r>
      <w:r w:rsidR="008A03F8">
        <w:rPr>
          <w:rFonts w:ascii="Palatino Linotype" w:hAnsi="Palatino Linotype" w:cs="Arial"/>
        </w:rPr>
        <w:t>esolutora</w:t>
      </w:r>
      <w:proofErr w:type="spellEnd"/>
      <w:r w:rsidRPr="001D3F57">
        <w:rPr>
          <w:rFonts w:ascii="Palatino Linotype" w:hAnsi="Palatino Linotype" w:cs="Arial"/>
        </w:rPr>
        <w:t xml:space="preserve"> </w:t>
      </w:r>
      <w:r>
        <w:rPr>
          <w:rFonts w:ascii="Palatino Linotype" w:hAnsi="Palatino Linotype" w:cs="Arial"/>
        </w:rPr>
        <w:t>en el resolutivo CUARTO  de la resolución de mérito,</w:t>
      </w:r>
      <w:r w:rsidR="008A03F8">
        <w:rPr>
          <w:rFonts w:ascii="Palatino Linotype" w:hAnsi="Palatino Linotype" w:cs="Arial"/>
        </w:rPr>
        <w:t xml:space="preserve"> a fin de interponer el recurso de inconformidad ante el </w:t>
      </w:r>
      <w:r>
        <w:rPr>
          <w:rFonts w:ascii="Palatino Linotype" w:hAnsi="Palatino Linotype" w:cs="Arial"/>
        </w:rPr>
        <w:t xml:space="preserve"> </w:t>
      </w:r>
      <w:r w:rsidRPr="00D642EC">
        <w:rPr>
          <w:rFonts w:ascii="Palatino Linotype" w:hAnsi="Palatino Linotype" w:cs="Arial"/>
        </w:rPr>
        <w:t>Instituto Nacional de Transparencia, Acceso a la Información y</w:t>
      </w:r>
      <w:r w:rsidR="008A03F8">
        <w:rPr>
          <w:rFonts w:ascii="Palatino Linotype" w:hAnsi="Palatino Linotype" w:cs="Arial"/>
        </w:rPr>
        <w:t xml:space="preserve"> Protección de Datos Personales.</w:t>
      </w:r>
    </w:p>
    <w:p w:rsidR="00D21672" w:rsidRDefault="006078FA" w:rsidP="004B17F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w:t>
      </w:r>
      <w:r w:rsidR="000D1731">
        <w:rPr>
          <w:rFonts w:ascii="Palatino Linotype" w:hAnsi="Palatino Linotype" w:cs="Arial"/>
        </w:rPr>
        <w:t>,</w:t>
      </w:r>
      <w:r>
        <w:rPr>
          <w:rFonts w:ascii="Palatino Linotype" w:hAnsi="Palatino Linotype" w:cs="Arial"/>
        </w:rPr>
        <w:t xml:space="preserve"> obedece a que de la respuesta y el informe justificado no se advierte que haya proporcionado un acuerdo de clasificación de la información o de inexisten</w:t>
      </w:r>
      <w:r w:rsidR="000D1731">
        <w:rPr>
          <w:rFonts w:ascii="Palatino Linotype" w:hAnsi="Palatino Linotype" w:cs="Arial"/>
        </w:rPr>
        <w:t>cia, de manera formal como lo establece</w:t>
      </w:r>
      <w:r>
        <w:rPr>
          <w:rFonts w:ascii="Palatino Linotype" w:hAnsi="Palatino Linotype" w:cs="Arial"/>
        </w:rPr>
        <w:t xml:space="preserve"> la Ley de la materia.</w:t>
      </w:r>
    </w:p>
    <w:p w:rsidR="00D45865" w:rsidRDefault="008A03F8" w:rsidP="004B17F5">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w:t>
      </w:r>
      <w:r w:rsidR="00F7009C">
        <w:rPr>
          <w:rFonts w:ascii="Palatino Linotype" w:hAnsi="Palatino Linotype" w:cs="Arial"/>
        </w:rPr>
        <w:t>, conviene precisar que los artículos 159 y 160 de la Ley General, se encuentran inmersos en el Título Octavo de la Ley en cita</w:t>
      </w:r>
      <w:r w:rsidR="00E631CA">
        <w:rPr>
          <w:rFonts w:ascii="Palatino Linotype" w:hAnsi="Palatino Linotype" w:cs="Arial"/>
        </w:rPr>
        <w:t>,</w:t>
      </w:r>
      <w:r w:rsidR="00F7009C">
        <w:rPr>
          <w:rFonts w:ascii="Palatino Linotype" w:hAnsi="Palatino Linotype" w:cs="Arial"/>
        </w:rPr>
        <w:t xml:space="preserve">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F7009C" w:rsidRDefault="00F7009C" w:rsidP="00AB7173">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F7009C" w:rsidRPr="00D642EC" w:rsidRDefault="00F7009C" w:rsidP="00AB7173">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F7009C" w:rsidRPr="000D1731" w:rsidRDefault="00F7009C" w:rsidP="00AB7173">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F7009C" w:rsidRPr="004B17F5" w:rsidRDefault="00F7009C" w:rsidP="00AB7173">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CB7C65" w:rsidRPr="00D642EC" w:rsidRDefault="00F7009C" w:rsidP="00AB7173">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BA2BC9" w:rsidRDefault="00F7009C" w:rsidP="004B17F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w:t>
      </w:r>
      <w:r w:rsidR="00F35195">
        <w:rPr>
          <w:rFonts w:ascii="Palatino Linotype" w:hAnsi="Palatino Linotype" w:cs="Arial"/>
        </w:rPr>
        <w:t xml:space="preserve"> de lo anterior se advierte que</w:t>
      </w:r>
      <w:r>
        <w:rPr>
          <w:rFonts w:ascii="Palatino Linotype" w:hAnsi="Palatino Linotype" w:cs="Arial"/>
        </w:rPr>
        <w:t xml:space="preserve"> el artículo en cita no resulta aplicable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 no clasificó</w:t>
      </w:r>
      <w:r w:rsidR="00CB7C65">
        <w:rPr>
          <w:rFonts w:ascii="Palatino Linotype" w:hAnsi="Palatino Linotype" w:cs="Arial"/>
        </w:rPr>
        <w:t xml:space="preserve"> formalmente</w:t>
      </w:r>
      <w:r>
        <w:rPr>
          <w:rFonts w:ascii="Palatino Linotype" w:hAnsi="Palatino Linotype" w:cs="Arial"/>
        </w:rPr>
        <w:t xml:space="preserve"> la informac</w:t>
      </w:r>
      <w:r w:rsidR="008A03F8">
        <w:rPr>
          <w:rFonts w:ascii="Palatino Linotype" w:hAnsi="Palatino Linotype" w:cs="Arial"/>
        </w:rPr>
        <w:t>ión requerida por el particular</w:t>
      </w:r>
      <w:r w:rsidR="00E631CA">
        <w:rPr>
          <w:rFonts w:ascii="Palatino Linotype" w:hAnsi="Palatino Linotype" w:cs="Arial"/>
        </w:rPr>
        <w:t xml:space="preserve">, y tampoco </w:t>
      </w:r>
      <w:r w:rsidR="00CB7C65">
        <w:rPr>
          <w:rFonts w:ascii="Palatino Linotype" w:hAnsi="Palatino Linotype" w:cs="Arial"/>
        </w:rPr>
        <w:t>confirmó la inexistencia de la información</w:t>
      </w:r>
      <w:r w:rsidR="00E631CA">
        <w:rPr>
          <w:rFonts w:ascii="Palatino Linotype" w:hAnsi="Palatino Linotype" w:cs="Arial"/>
        </w:rPr>
        <w:t xml:space="preserve">; </w:t>
      </w:r>
      <w:r w:rsidR="00F35195">
        <w:rPr>
          <w:rFonts w:ascii="Palatino Linotype" w:hAnsi="Palatino Linotype" w:cs="Arial"/>
        </w:rPr>
        <w:t>aunado a que</w:t>
      </w:r>
      <w:r w:rsidR="00E631CA">
        <w:rPr>
          <w:rFonts w:ascii="Palatino Linotype" w:hAnsi="Palatino Linotype" w:cs="Arial"/>
        </w:rPr>
        <w:t xml:space="preserve"> e</w:t>
      </w:r>
      <w:r>
        <w:rPr>
          <w:rFonts w:ascii="Palatino Linotype" w:hAnsi="Palatino Linotype" w:cs="Arial"/>
        </w:rPr>
        <w:t>l recurso de revisión fue resuelto conforme al plazo señalado en el numeral 181 de la Ley de Transparencia y Acceso a la Información Pública del Estado de México y Municipios; por ende, no se actualizan ningunos de los supuestos legales anterio</w:t>
      </w:r>
      <w:r w:rsidR="00BA2BC9">
        <w:rPr>
          <w:rFonts w:ascii="Palatino Linotype" w:hAnsi="Palatino Linotype" w:cs="Arial"/>
        </w:rPr>
        <w:t>rmente citados.</w:t>
      </w:r>
    </w:p>
    <w:p w:rsidR="00F7009C" w:rsidRDefault="00F7009C" w:rsidP="004B17F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Para mayor claridad de lo aducido</w:t>
      </w:r>
      <w:r w:rsidR="00D21672">
        <w:rPr>
          <w:rFonts w:ascii="Palatino Linotype" w:hAnsi="Palatino Linotype" w:cs="Arial"/>
        </w:rPr>
        <w:t>,</w:t>
      </w:r>
      <w:r>
        <w:rPr>
          <w:rFonts w:ascii="Palatino Linotype" w:hAnsi="Palatino Linotype" w:cs="Arial"/>
        </w:rPr>
        <w:t xml:space="preserve">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clasifique la información requerida</w:t>
      </w:r>
      <w:r w:rsidR="008A03F8">
        <w:rPr>
          <w:rFonts w:ascii="Palatino Linotype" w:hAnsi="Palatino Linotype" w:cs="Arial"/>
        </w:rPr>
        <w:t>,</w:t>
      </w:r>
      <w:r>
        <w:rPr>
          <w:rFonts w:ascii="Palatino Linotype" w:hAnsi="Palatino Linotype" w:cs="Arial"/>
        </w:rPr>
        <w:t xml:space="preserve"> ya sea como confidencial o reservada </w:t>
      </w:r>
      <w:r w:rsidR="006078FA">
        <w:rPr>
          <w:rFonts w:ascii="Palatino Linotype" w:hAnsi="Palatino Linotype" w:cs="Arial"/>
        </w:rPr>
        <w:t xml:space="preserve">o en su caso el Acuerdo de Inexistencia </w:t>
      </w:r>
      <w:r>
        <w:rPr>
          <w:rFonts w:ascii="Palatino Linotype" w:hAnsi="Palatino Linotype" w:cs="Arial"/>
        </w:rPr>
        <w:t xml:space="preserve">y que derivado de la inconformidad del </w:t>
      </w:r>
      <w:r w:rsidR="00E631CA" w:rsidRPr="00E631CA">
        <w:rPr>
          <w:rFonts w:ascii="Palatino Linotype" w:hAnsi="Palatino Linotype" w:cs="Arial"/>
          <w:b/>
        </w:rPr>
        <w:t>RECURRENTE</w:t>
      </w:r>
      <w:r w:rsidR="00E631CA">
        <w:rPr>
          <w:rFonts w:ascii="Palatino Linotype" w:hAnsi="Palatino Linotype" w:cs="Arial"/>
        </w:rPr>
        <w:t xml:space="preserve"> </w:t>
      </w:r>
      <w:r>
        <w:rPr>
          <w:rFonts w:ascii="Palatino Linotype" w:hAnsi="Palatino Linotype" w:cs="Arial"/>
        </w:rPr>
        <w:t xml:space="preserve">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w:t>
      </w:r>
      <w:r w:rsidR="004B17F5">
        <w:rPr>
          <w:rFonts w:ascii="Palatino Linotype" w:hAnsi="Palatino Linotype" w:cs="Arial"/>
        </w:rPr>
        <w:t>rrecta o en su caso modificarla</w:t>
      </w:r>
      <w:r w:rsidR="00946DEF">
        <w:rPr>
          <w:rFonts w:ascii="Palatino Linotype" w:hAnsi="Palatino Linotype" w:cs="Arial"/>
        </w:rPr>
        <w:t>.</w:t>
      </w:r>
    </w:p>
    <w:tbl>
      <w:tblPr>
        <w:tblpPr w:leftFromText="141" w:rightFromText="141" w:vertAnchor="text" w:horzAnchor="margin" w:tblpXSpec="center" w:tblpY="2383"/>
        <w:tblOverlap w:val="never"/>
        <w:tblW w:w="2665" w:type="dxa"/>
        <w:tblLayout w:type="fixed"/>
        <w:tblLook w:val="04A0" w:firstRow="1" w:lastRow="0" w:firstColumn="1" w:lastColumn="0" w:noHBand="0" w:noVBand="1"/>
      </w:tblPr>
      <w:tblGrid>
        <w:gridCol w:w="2665"/>
      </w:tblGrid>
      <w:tr w:rsidR="00AB7173" w:rsidRPr="001B6F4B" w:rsidTr="00AB7173">
        <w:trPr>
          <w:trHeight w:val="741"/>
        </w:trPr>
        <w:tc>
          <w:tcPr>
            <w:tcW w:w="2665" w:type="dxa"/>
          </w:tcPr>
          <w:p w:rsidR="00946DEF" w:rsidRDefault="00946DEF" w:rsidP="00AB7173">
            <w:pPr>
              <w:ind w:right="49"/>
              <w:jc w:val="center"/>
              <w:rPr>
                <w:rFonts w:ascii="Palatino Linotype" w:hAnsi="Palatino Linotype" w:cs="Arial"/>
                <w:b/>
              </w:rPr>
            </w:pPr>
          </w:p>
          <w:p w:rsidR="00946DEF" w:rsidRDefault="00946DEF" w:rsidP="00AB7173">
            <w:pPr>
              <w:ind w:right="49"/>
              <w:jc w:val="center"/>
              <w:rPr>
                <w:rFonts w:ascii="Palatino Linotype" w:hAnsi="Palatino Linotype" w:cs="Arial"/>
                <w:b/>
              </w:rPr>
            </w:pPr>
          </w:p>
          <w:p w:rsidR="00946DEF" w:rsidRDefault="00946DEF" w:rsidP="00AB7173">
            <w:pPr>
              <w:ind w:right="49"/>
              <w:jc w:val="center"/>
              <w:rPr>
                <w:rFonts w:ascii="Palatino Linotype" w:hAnsi="Palatino Linotype" w:cs="Arial"/>
                <w:b/>
              </w:rPr>
            </w:pPr>
          </w:p>
          <w:p w:rsidR="00946DEF" w:rsidRDefault="00946DEF" w:rsidP="00AB7173">
            <w:pPr>
              <w:ind w:right="49"/>
              <w:jc w:val="center"/>
              <w:rPr>
                <w:rFonts w:ascii="Palatino Linotype" w:hAnsi="Palatino Linotype" w:cs="Arial"/>
                <w:b/>
              </w:rPr>
            </w:pPr>
          </w:p>
          <w:p w:rsidR="00946DEF" w:rsidRDefault="00946DEF" w:rsidP="00AB7173">
            <w:pPr>
              <w:ind w:right="49"/>
              <w:jc w:val="center"/>
              <w:rPr>
                <w:rFonts w:ascii="Palatino Linotype" w:hAnsi="Palatino Linotype" w:cs="Arial"/>
                <w:b/>
              </w:rPr>
            </w:pPr>
          </w:p>
          <w:p w:rsidR="00946DEF" w:rsidRDefault="00946DEF" w:rsidP="00AB7173">
            <w:pPr>
              <w:ind w:right="49"/>
              <w:jc w:val="center"/>
              <w:rPr>
                <w:rFonts w:ascii="Palatino Linotype" w:hAnsi="Palatino Linotype" w:cs="Arial"/>
                <w:b/>
              </w:rPr>
            </w:pPr>
          </w:p>
          <w:p w:rsidR="00946DEF" w:rsidRDefault="00946DEF" w:rsidP="00AB7173">
            <w:pPr>
              <w:ind w:right="49"/>
              <w:jc w:val="center"/>
              <w:rPr>
                <w:rFonts w:ascii="Palatino Linotype" w:hAnsi="Palatino Linotype" w:cs="Arial"/>
                <w:b/>
              </w:rPr>
            </w:pPr>
          </w:p>
          <w:p w:rsidR="00946DEF" w:rsidRDefault="00946DEF" w:rsidP="00DE0E72">
            <w:pPr>
              <w:ind w:right="49"/>
              <w:rPr>
                <w:rFonts w:ascii="Palatino Linotype" w:hAnsi="Palatino Linotype" w:cs="Arial"/>
                <w:b/>
              </w:rPr>
            </w:pPr>
          </w:p>
          <w:p w:rsidR="00946DEF" w:rsidRDefault="00946DEF" w:rsidP="00AB7173">
            <w:pPr>
              <w:ind w:right="49"/>
              <w:jc w:val="center"/>
              <w:rPr>
                <w:rFonts w:ascii="Palatino Linotype" w:hAnsi="Palatino Linotype" w:cs="Arial"/>
                <w:b/>
              </w:rPr>
            </w:pPr>
          </w:p>
          <w:p w:rsidR="00AB7173" w:rsidRDefault="00AB7173" w:rsidP="00AB7173">
            <w:pPr>
              <w:ind w:right="49"/>
              <w:jc w:val="center"/>
              <w:rPr>
                <w:rFonts w:ascii="Palatino Linotype" w:hAnsi="Palatino Linotype" w:cs="Arial"/>
                <w:b/>
              </w:rPr>
            </w:pPr>
            <w:r w:rsidRPr="0061470D">
              <w:rPr>
                <w:rFonts w:ascii="Palatino Linotype" w:hAnsi="Palatino Linotype" w:cs="Arial"/>
                <w:b/>
              </w:rPr>
              <w:t>EVA ABAID YAPUR</w:t>
            </w:r>
          </w:p>
          <w:p w:rsidR="00AB7173" w:rsidRDefault="00AB7173" w:rsidP="00946DEF">
            <w:pPr>
              <w:ind w:right="49"/>
              <w:jc w:val="center"/>
              <w:rPr>
                <w:rFonts w:ascii="Palatino Linotype" w:hAnsi="Palatino Linotype" w:cs="Arial"/>
                <w:b/>
              </w:rPr>
            </w:pPr>
            <w:r w:rsidRPr="0061470D">
              <w:rPr>
                <w:rFonts w:ascii="Palatino Linotype" w:hAnsi="Palatino Linotype" w:cs="Arial"/>
                <w:b/>
              </w:rPr>
              <w:t>COMISIONADA</w:t>
            </w:r>
          </w:p>
          <w:p w:rsidR="00DE0E72" w:rsidRPr="00AB7173" w:rsidRDefault="00DE0E72" w:rsidP="00946DEF">
            <w:pPr>
              <w:ind w:right="49"/>
              <w:jc w:val="center"/>
              <w:rPr>
                <w:rFonts w:ascii="Palatino Linotype" w:hAnsi="Palatino Linotype" w:cs="Arial"/>
                <w:b/>
              </w:rPr>
            </w:pPr>
            <w:r>
              <w:rPr>
                <w:rFonts w:ascii="Palatino Linotype" w:hAnsi="Palatino Linotype" w:cs="Arial"/>
                <w:b/>
              </w:rPr>
              <w:t>(RÚBRICA)</w:t>
            </w:r>
            <w:bookmarkStart w:id="0" w:name="_GoBack"/>
            <w:bookmarkEnd w:id="0"/>
          </w:p>
        </w:tc>
      </w:tr>
    </w:tbl>
    <w:p w:rsidR="00F7009C" w:rsidRDefault="00E27A4A" w:rsidP="004B17F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conclusión</w:t>
      </w:r>
      <w:r w:rsidR="00F7009C">
        <w:rPr>
          <w:rFonts w:ascii="Palatino Linotype" w:hAnsi="Palatino Linotype" w:cs="Arial"/>
        </w:rPr>
        <w:t>, la que suscribe</w:t>
      </w:r>
      <w:r w:rsidR="00BB18A2">
        <w:rPr>
          <w:rFonts w:ascii="Palatino Linotype" w:hAnsi="Palatino Linotype" w:cs="Arial"/>
        </w:rPr>
        <w:t xml:space="preserve"> emite </w:t>
      </w:r>
      <w:r w:rsidR="00BB18A2" w:rsidRPr="00BB18A2">
        <w:rPr>
          <w:rFonts w:ascii="Palatino Linotype" w:hAnsi="Palatino Linotype" w:cs="Arial"/>
          <w:b/>
        </w:rPr>
        <w:t>VOTO PARTICULAR</w:t>
      </w:r>
      <w:r w:rsidR="00F7009C">
        <w:rPr>
          <w:rFonts w:ascii="Palatino Linotype" w:hAnsi="Palatino Linotype" w:cs="Arial"/>
        </w:rPr>
        <w:t xml:space="preserve"> </w:t>
      </w:r>
      <w:r w:rsidR="00BB18A2">
        <w:rPr>
          <w:rFonts w:ascii="Palatino Linotype" w:hAnsi="Palatino Linotype" w:cs="Arial"/>
        </w:rPr>
        <w:t>ya que considero</w:t>
      </w:r>
      <w:r w:rsidR="00F7009C">
        <w:rPr>
          <w:rFonts w:ascii="Palatino Linotype" w:hAnsi="Palatino Linotype" w:cs="Arial"/>
        </w:rPr>
        <w:t xml:space="preserve"> que no se debieron invocar dichos a</w:t>
      </w:r>
      <w:r w:rsidR="00BA2BC9">
        <w:rPr>
          <w:rFonts w:ascii="Palatino Linotype" w:hAnsi="Palatino Linotype" w:cs="Arial"/>
        </w:rPr>
        <w:t>rtículos en el resolutivo TERCERO</w:t>
      </w:r>
      <w:r w:rsidR="00F7009C">
        <w:rPr>
          <w:rFonts w:ascii="Palatino Linotype" w:hAnsi="Palatino Linotype" w:cs="Arial"/>
        </w:rPr>
        <w:t xml:space="preserve"> de la resolución de mérito;</w:t>
      </w:r>
      <w:r w:rsidR="00F7009C">
        <w:rPr>
          <w:rFonts w:ascii="Palatino Linotype" w:hAnsi="Palatino Linotype"/>
        </w:rPr>
        <w:t xml:space="preserve"> por lo que, </w:t>
      </w:r>
      <w:r w:rsidR="00F7009C">
        <w:rPr>
          <w:rFonts w:ascii="Palatino Linotype" w:hAnsi="Palatino Linotype" w:cs="Arial"/>
        </w:rPr>
        <w:t>se insiste, que de las constancias del expediente no se advierten actos que encuadren en l</w:t>
      </w:r>
      <w:r w:rsidR="008A03F8">
        <w:rPr>
          <w:rFonts w:ascii="Palatino Linotype" w:hAnsi="Palatino Linotype" w:cs="Arial"/>
        </w:rPr>
        <w:t>os supuestos legales señalados en</w:t>
      </w:r>
      <w:r w:rsidR="00F7009C">
        <w:rPr>
          <w:rFonts w:ascii="Palatino Linotype" w:hAnsi="Palatino Linotype" w:cs="Arial"/>
        </w:rPr>
        <w:t xml:space="preserve"> los numerales </w:t>
      </w:r>
      <w:r w:rsidR="00F7009C" w:rsidRPr="00DF304A">
        <w:rPr>
          <w:rFonts w:ascii="Palatino Linotype" w:hAnsi="Palatino Linotype" w:cs="Arial"/>
        </w:rPr>
        <w:t>159 y 160 de la Ley General de Transparencia y Acceso a la Información Pública</w:t>
      </w:r>
      <w:r w:rsidR="00946DEF">
        <w:rPr>
          <w:rFonts w:ascii="Palatino Linotype" w:hAnsi="Palatino Linotype" w:cs="Arial"/>
        </w:rPr>
        <w:t>.</w:t>
      </w:r>
    </w:p>
    <w:p w:rsidR="009524DE" w:rsidRDefault="009524DE" w:rsidP="001B5DD5">
      <w:pPr>
        <w:ind w:right="49"/>
        <w:jc w:val="both"/>
        <w:rPr>
          <w:rFonts w:ascii="Palatino Linotype" w:hAnsi="Palatino Linotype" w:cs="Arial"/>
        </w:rPr>
      </w:pPr>
    </w:p>
    <w:p w:rsidR="00AB7173" w:rsidRDefault="00AB7173" w:rsidP="001B5DD5">
      <w:pPr>
        <w:ind w:right="49"/>
        <w:jc w:val="both"/>
        <w:rPr>
          <w:rFonts w:ascii="Palatino Linotype" w:hAnsi="Palatino Linotype" w:cs="Arial"/>
        </w:rPr>
      </w:pPr>
    </w:p>
    <w:p w:rsidR="00AB7173" w:rsidRDefault="00AB7173"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946DEF" w:rsidRDefault="00946DEF" w:rsidP="001B5DD5">
      <w:pPr>
        <w:ind w:right="49"/>
        <w:jc w:val="both"/>
        <w:rPr>
          <w:rFonts w:ascii="Palatino Linotype" w:eastAsia="Calibri" w:hAnsi="Palatino Linotype" w:cs="Arial"/>
          <w:color w:val="000000" w:themeColor="text1"/>
          <w:sz w:val="18"/>
          <w:szCs w:val="20"/>
        </w:rPr>
      </w:pPr>
    </w:p>
    <w:p w:rsidR="00F14A3E"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Pr="0099561F">
        <w:rPr>
          <w:rFonts w:ascii="Palatino Linotype" w:eastAsia="Calibri" w:hAnsi="Palatino Linotype" w:cs="Arial"/>
          <w:color w:val="000000" w:themeColor="text1"/>
          <w:sz w:val="18"/>
          <w:szCs w:val="20"/>
        </w:rPr>
        <w:t>el recurso de revisión 0</w:t>
      </w:r>
      <w:r w:rsidR="00AB7173">
        <w:rPr>
          <w:rFonts w:ascii="Palatino Linotype" w:eastAsia="Calibri" w:hAnsi="Palatino Linotype" w:cs="Arial"/>
          <w:color w:val="000000" w:themeColor="text1"/>
          <w:sz w:val="18"/>
          <w:szCs w:val="20"/>
        </w:rPr>
        <w:t>2995</w:t>
      </w:r>
      <w:r w:rsidR="006078FA">
        <w:rPr>
          <w:rFonts w:ascii="Palatino Linotype" w:eastAsia="Calibri" w:hAnsi="Palatino Linotype" w:cs="Arial"/>
          <w:color w:val="000000" w:themeColor="text1"/>
          <w:sz w:val="18"/>
          <w:szCs w:val="20"/>
        </w:rPr>
        <w:t>/INFOEM/IP/RR/2018</w:t>
      </w:r>
      <w:r w:rsidRPr="0099561F">
        <w:rPr>
          <w:rFonts w:ascii="Palatino Linotype" w:eastAsia="Calibri" w:hAnsi="Palatino Linotype" w:cs="Arial"/>
          <w:color w:val="000000" w:themeColor="text1"/>
          <w:sz w:val="18"/>
          <w:szCs w:val="20"/>
        </w:rPr>
        <w:t xml:space="preserve">, aprobado el </w:t>
      </w:r>
      <w:r w:rsidR="00AB7173">
        <w:rPr>
          <w:rFonts w:ascii="Palatino Linotype" w:eastAsia="Calibri" w:hAnsi="Palatino Linotype" w:cs="Arial"/>
          <w:color w:val="000000" w:themeColor="text1"/>
          <w:sz w:val="18"/>
          <w:szCs w:val="20"/>
        </w:rPr>
        <w:t>diez de octubre</w:t>
      </w:r>
      <w:r w:rsidR="00A12170" w:rsidRPr="0099561F">
        <w:rPr>
          <w:rFonts w:ascii="Palatino Linotype" w:eastAsia="Calibri" w:hAnsi="Palatino Linotype" w:cs="Arial"/>
          <w:color w:val="000000" w:themeColor="text1"/>
          <w:sz w:val="18"/>
          <w:szCs w:val="20"/>
        </w:rPr>
        <w:t xml:space="preserve"> de dos mil dieciocho</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946DEF" w:rsidRPr="00946DEF" w:rsidRDefault="00946DEF" w:rsidP="001B5DD5">
      <w:pPr>
        <w:ind w:right="49"/>
        <w:jc w:val="both"/>
        <w:rPr>
          <w:rFonts w:ascii="Palatino Linotype" w:eastAsia="Calibri" w:hAnsi="Palatino Linotype" w:cs="Arial"/>
          <w:color w:val="000000" w:themeColor="text1"/>
          <w:sz w:val="8"/>
          <w:szCs w:val="8"/>
        </w:rPr>
      </w:pPr>
    </w:p>
    <w:p w:rsidR="00F7009C" w:rsidRPr="0099561F" w:rsidRDefault="00A12170" w:rsidP="001B5DD5">
      <w:pPr>
        <w:ind w:right="49"/>
        <w:jc w:val="both"/>
        <w:rPr>
          <w:rFonts w:ascii="Palatino Linotype" w:eastAsia="Calibri" w:hAnsi="Palatino Linotype" w:cs="Arial"/>
          <w:color w:val="000000" w:themeColor="text1"/>
          <w:sz w:val="20"/>
          <w:szCs w:val="21"/>
        </w:rPr>
      </w:pPr>
      <w:r w:rsidRPr="0099561F">
        <w:rPr>
          <w:rFonts w:ascii="Palatino Linotype" w:eastAsia="Calibri" w:hAnsi="Palatino Linotype" w:cs="Arial"/>
          <w:color w:val="000000" w:themeColor="text1"/>
          <w:sz w:val="20"/>
          <w:szCs w:val="21"/>
        </w:rPr>
        <w:t>YSM/EJCA</w:t>
      </w:r>
    </w:p>
    <w:sectPr w:rsidR="00F7009C" w:rsidRPr="0099561F" w:rsidSect="00CB7C6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BF" w:rsidRDefault="00EF68BF" w:rsidP="00C80F8C">
      <w:r>
        <w:separator/>
      </w:r>
    </w:p>
  </w:endnote>
  <w:endnote w:type="continuationSeparator" w:id="0">
    <w:p w:rsidR="00EF68BF" w:rsidRDefault="00EF68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E0E72">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E0E72">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BF" w:rsidRDefault="00EF68BF" w:rsidP="00C80F8C">
      <w:r>
        <w:separator/>
      </w:r>
    </w:p>
  </w:footnote>
  <w:footnote w:type="continuationSeparator" w:id="0">
    <w:p w:rsidR="00EF68BF" w:rsidRDefault="00EF68B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DE0E7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F7009C">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4B17F5">
      <w:rPr>
        <w:rFonts w:ascii="Palatino Linotype" w:hAnsi="Palatino Linotype" w:cs="Arial"/>
        <w:sz w:val="20"/>
        <w:szCs w:val="20"/>
      </w:rPr>
      <w:t>2995</w:t>
    </w:r>
    <w:r>
      <w:rPr>
        <w:rFonts w:ascii="Palatino Linotype" w:hAnsi="Palatino Linotype" w:cs="Arial"/>
        <w:sz w:val="20"/>
        <w:szCs w:val="20"/>
      </w:rPr>
      <w:t>/INFOEM/IP</w:t>
    </w:r>
    <w:r w:rsidRPr="00706042">
      <w:rPr>
        <w:rFonts w:ascii="Palatino Linotype" w:hAnsi="Palatino Linotype" w:cs="Arial"/>
        <w:sz w:val="20"/>
        <w:szCs w:val="20"/>
      </w:rPr>
      <w:t>/RR/201</w:t>
    </w:r>
    <w:r w:rsidR="00E610EB">
      <w:rPr>
        <w:rFonts w:ascii="Palatino Linotype" w:hAnsi="Palatino Linotype" w:cs="Arial"/>
        <w:sz w:val="20"/>
        <w:szCs w:val="20"/>
      </w:rPr>
      <w:t>8</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DE0E72"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0.45pt;height:71.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DE0E7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5"/>
  </w:num>
  <w:num w:numId="4">
    <w:abstractNumId w:val="0"/>
  </w:num>
  <w:num w:numId="5">
    <w:abstractNumId w:val="12"/>
  </w:num>
  <w:num w:numId="6">
    <w:abstractNumId w:val="8"/>
  </w:num>
  <w:num w:numId="7">
    <w:abstractNumId w:val="14"/>
  </w:num>
  <w:num w:numId="8">
    <w:abstractNumId w:val="7"/>
  </w:num>
  <w:num w:numId="9">
    <w:abstractNumId w:val="10"/>
  </w:num>
  <w:num w:numId="10">
    <w:abstractNumId w:val="3"/>
  </w:num>
  <w:num w:numId="11">
    <w:abstractNumId w:val="11"/>
  </w:num>
  <w:num w:numId="12">
    <w:abstractNumId w:val="6"/>
  </w:num>
  <w:num w:numId="13">
    <w:abstractNumId w:val="13"/>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3370F"/>
    <w:rsid w:val="000412FB"/>
    <w:rsid w:val="00055107"/>
    <w:rsid w:val="0006079D"/>
    <w:rsid w:val="0007653D"/>
    <w:rsid w:val="00082101"/>
    <w:rsid w:val="0008542A"/>
    <w:rsid w:val="0008745A"/>
    <w:rsid w:val="00092678"/>
    <w:rsid w:val="00095B30"/>
    <w:rsid w:val="000B3FFD"/>
    <w:rsid w:val="000C1A85"/>
    <w:rsid w:val="000C2CF9"/>
    <w:rsid w:val="000C4453"/>
    <w:rsid w:val="000D136C"/>
    <w:rsid w:val="000D1731"/>
    <w:rsid w:val="000D66DE"/>
    <w:rsid w:val="000E2B1A"/>
    <w:rsid w:val="000E4C17"/>
    <w:rsid w:val="00102EEC"/>
    <w:rsid w:val="0010583C"/>
    <w:rsid w:val="001059D0"/>
    <w:rsid w:val="00117749"/>
    <w:rsid w:val="00123644"/>
    <w:rsid w:val="00136F2D"/>
    <w:rsid w:val="0013735C"/>
    <w:rsid w:val="00140058"/>
    <w:rsid w:val="00175DEE"/>
    <w:rsid w:val="00187FFD"/>
    <w:rsid w:val="001950C9"/>
    <w:rsid w:val="0019622B"/>
    <w:rsid w:val="001A5699"/>
    <w:rsid w:val="001B5DD5"/>
    <w:rsid w:val="001C17D2"/>
    <w:rsid w:val="001D3F57"/>
    <w:rsid w:val="001E757E"/>
    <w:rsid w:val="001E763C"/>
    <w:rsid w:val="00220AB6"/>
    <w:rsid w:val="00224957"/>
    <w:rsid w:val="002314AA"/>
    <w:rsid w:val="0023504D"/>
    <w:rsid w:val="00237A37"/>
    <w:rsid w:val="0024119C"/>
    <w:rsid w:val="00243881"/>
    <w:rsid w:val="0025202C"/>
    <w:rsid w:val="00255F32"/>
    <w:rsid w:val="002562CC"/>
    <w:rsid w:val="00260589"/>
    <w:rsid w:val="00265F75"/>
    <w:rsid w:val="002940F8"/>
    <w:rsid w:val="002A7461"/>
    <w:rsid w:val="002B7856"/>
    <w:rsid w:val="002D3BBD"/>
    <w:rsid w:val="002D4526"/>
    <w:rsid w:val="002D69E1"/>
    <w:rsid w:val="002E5711"/>
    <w:rsid w:val="002F4562"/>
    <w:rsid w:val="002F5CF7"/>
    <w:rsid w:val="0030072F"/>
    <w:rsid w:val="003031E1"/>
    <w:rsid w:val="003056D9"/>
    <w:rsid w:val="003102FA"/>
    <w:rsid w:val="003169F5"/>
    <w:rsid w:val="0033370B"/>
    <w:rsid w:val="0034309A"/>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4271B"/>
    <w:rsid w:val="00443646"/>
    <w:rsid w:val="0044475B"/>
    <w:rsid w:val="004526B8"/>
    <w:rsid w:val="00455CB3"/>
    <w:rsid w:val="004577AC"/>
    <w:rsid w:val="00460257"/>
    <w:rsid w:val="004661D2"/>
    <w:rsid w:val="004776FF"/>
    <w:rsid w:val="00493D28"/>
    <w:rsid w:val="004B17F5"/>
    <w:rsid w:val="004B7325"/>
    <w:rsid w:val="004C40EA"/>
    <w:rsid w:val="004C64D9"/>
    <w:rsid w:val="004D0A26"/>
    <w:rsid w:val="004D34A9"/>
    <w:rsid w:val="004F206F"/>
    <w:rsid w:val="00500FFD"/>
    <w:rsid w:val="00507AD1"/>
    <w:rsid w:val="00516914"/>
    <w:rsid w:val="005228B4"/>
    <w:rsid w:val="005236B6"/>
    <w:rsid w:val="005318AB"/>
    <w:rsid w:val="005321E3"/>
    <w:rsid w:val="00552317"/>
    <w:rsid w:val="00562649"/>
    <w:rsid w:val="00575235"/>
    <w:rsid w:val="0058067E"/>
    <w:rsid w:val="0058639E"/>
    <w:rsid w:val="005870DF"/>
    <w:rsid w:val="0058776D"/>
    <w:rsid w:val="00592A18"/>
    <w:rsid w:val="005B4F98"/>
    <w:rsid w:val="005B773B"/>
    <w:rsid w:val="005C66D4"/>
    <w:rsid w:val="005D14C4"/>
    <w:rsid w:val="005D1946"/>
    <w:rsid w:val="005F47EA"/>
    <w:rsid w:val="006078FA"/>
    <w:rsid w:val="00612544"/>
    <w:rsid w:val="0061616C"/>
    <w:rsid w:val="006301B2"/>
    <w:rsid w:val="00634485"/>
    <w:rsid w:val="0063673D"/>
    <w:rsid w:val="00642334"/>
    <w:rsid w:val="00645B0C"/>
    <w:rsid w:val="00646A97"/>
    <w:rsid w:val="00663A16"/>
    <w:rsid w:val="00672211"/>
    <w:rsid w:val="006824EF"/>
    <w:rsid w:val="00682FED"/>
    <w:rsid w:val="00684492"/>
    <w:rsid w:val="0069123B"/>
    <w:rsid w:val="00694EB3"/>
    <w:rsid w:val="00695DA7"/>
    <w:rsid w:val="006967D4"/>
    <w:rsid w:val="006A496D"/>
    <w:rsid w:val="006C0991"/>
    <w:rsid w:val="006D6457"/>
    <w:rsid w:val="006E6389"/>
    <w:rsid w:val="006F30F8"/>
    <w:rsid w:val="00712BC2"/>
    <w:rsid w:val="0071346B"/>
    <w:rsid w:val="00716A47"/>
    <w:rsid w:val="00721966"/>
    <w:rsid w:val="00723D18"/>
    <w:rsid w:val="00724599"/>
    <w:rsid w:val="00736C06"/>
    <w:rsid w:val="007416E3"/>
    <w:rsid w:val="00742010"/>
    <w:rsid w:val="00744D22"/>
    <w:rsid w:val="007542BA"/>
    <w:rsid w:val="00772360"/>
    <w:rsid w:val="0078087A"/>
    <w:rsid w:val="007957C4"/>
    <w:rsid w:val="007A4AB6"/>
    <w:rsid w:val="007B2ACC"/>
    <w:rsid w:val="007B6E55"/>
    <w:rsid w:val="007C0FDA"/>
    <w:rsid w:val="007C3C0E"/>
    <w:rsid w:val="007C4E7D"/>
    <w:rsid w:val="007D0FEE"/>
    <w:rsid w:val="008217CD"/>
    <w:rsid w:val="00827787"/>
    <w:rsid w:val="00832B51"/>
    <w:rsid w:val="00833BC7"/>
    <w:rsid w:val="00844AA1"/>
    <w:rsid w:val="00846A21"/>
    <w:rsid w:val="008556C3"/>
    <w:rsid w:val="008562AB"/>
    <w:rsid w:val="00870BFA"/>
    <w:rsid w:val="00885FAE"/>
    <w:rsid w:val="008902CD"/>
    <w:rsid w:val="00892AFC"/>
    <w:rsid w:val="008A03F8"/>
    <w:rsid w:val="008C0700"/>
    <w:rsid w:val="008C0C70"/>
    <w:rsid w:val="008C17F2"/>
    <w:rsid w:val="008D1526"/>
    <w:rsid w:val="008D584A"/>
    <w:rsid w:val="008E1FCA"/>
    <w:rsid w:val="008E3D9C"/>
    <w:rsid w:val="009141A6"/>
    <w:rsid w:val="009156F1"/>
    <w:rsid w:val="00923C1E"/>
    <w:rsid w:val="00926A92"/>
    <w:rsid w:val="0093343E"/>
    <w:rsid w:val="00941FCE"/>
    <w:rsid w:val="00946DEF"/>
    <w:rsid w:val="009524DE"/>
    <w:rsid w:val="00953EC8"/>
    <w:rsid w:val="00955551"/>
    <w:rsid w:val="00966E59"/>
    <w:rsid w:val="00975AA3"/>
    <w:rsid w:val="00975EB9"/>
    <w:rsid w:val="00976BAB"/>
    <w:rsid w:val="009773AF"/>
    <w:rsid w:val="00983759"/>
    <w:rsid w:val="00986740"/>
    <w:rsid w:val="0099561F"/>
    <w:rsid w:val="00996659"/>
    <w:rsid w:val="009A271C"/>
    <w:rsid w:val="009A67F5"/>
    <w:rsid w:val="009B65F4"/>
    <w:rsid w:val="009C2F32"/>
    <w:rsid w:val="009C46BF"/>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7B24"/>
    <w:rsid w:val="00A81140"/>
    <w:rsid w:val="00A824CA"/>
    <w:rsid w:val="00A913AB"/>
    <w:rsid w:val="00AA7C1B"/>
    <w:rsid w:val="00AB21DA"/>
    <w:rsid w:val="00AB7173"/>
    <w:rsid w:val="00AC248E"/>
    <w:rsid w:val="00AC3F99"/>
    <w:rsid w:val="00AD0AF6"/>
    <w:rsid w:val="00AD13E4"/>
    <w:rsid w:val="00AD2624"/>
    <w:rsid w:val="00AD5651"/>
    <w:rsid w:val="00AD6AAD"/>
    <w:rsid w:val="00AE2B18"/>
    <w:rsid w:val="00AF0B38"/>
    <w:rsid w:val="00AF3F82"/>
    <w:rsid w:val="00B106EA"/>
    <w:rsid w:val="00B151A8"/>
    <w:rsid w:val="00B164E9"/>
    <w:rsid w:val="00B23FB2"/>
    <w:rsid w:val="00B27BE5"/>
    <w:rsid w:val="00B337A5"/>
    <w:rsid w:val="00B3561F"/>
    <w:rsid w:val="00B35A45"/>
    <w:rsid w:val="00B36D1D"/>
    <w:rsid w:val="00B45100"/>
    <w:rsid w:val="00B4641E"/>
    <w:rsid w:val="00B46E78"/>
    <w:rsid w:val="00B5072E"/>
    <w:rsid w:val="00B53290"/>
    <w:rsid w:val="00B57FE6"/>
    <w:rsid w:val="00B611BF"/>
    <w:rsid w:val="00B64C77"/>
    <w:rsid w:val="00B650A8"/>
    <w:rsid w:val="00B71C68"/>
    <w:rsid w:val="00B77237"/>
    <w:rsid w:val="00B80485"/>
    <w:rsid w:val="00B86746"/>
    <w:rsid w:val="00B95BF7"/>
    <w:rsid w:val="00BA2BC9"/>
    <w:rsid w:val="00BB18A2"/>
    <w:rsid w:val="00BC5D71"/>
    <w:rsid w:val="00BD7483"/>
    <w:rsid w:val="00C06D9C"/>
    <w:rsid w:val="00C1644D"/>
    <w:rsid w:val="00C22B05"/>
    <w:rsid w:val="00C30621"/>
    <w:rsid w:val="00C307F0"/>
    <w:rsid w:val="00C4493E"/>
    <w:rsid w:val="00C5286C"/>
    <w:rsid w:val="00C766EF"/>
    <w:rsid w:val="00C80F8C"/>
    <w:rsid w:val="00CA047D"/>
    <w:rsid w:val="00CB10D8"/>
    <w:rsid w:val="00CB7C65"/>
    <w:rsid w:val="00CC5EAB"/>
    <w:rsid w:val="00CD13BC"/>
    <w:rsid w:val="00CF30E8"/>
    <w:rsid w:val="00D01B99"/>
    <w:rsid w:val="00D1141D"/>
    <w:rsid w:val="00D12B23"/>
    <w:rsid w:val="00D21672"/>
    <w:rsid w:val="00D22D87"/>
    <w:rsid w:val="00D26C0E"/>
    <w:rsid w:val="00D31C72"/>
    <w:rsid w:val="00D34604"/>
    <w:rsid w:val="00D354B8"/>
    <w:rsid w:val="00D400DE"/>
    <w:rsid w:val="00D45865"/>
    <w:rsid w:val="00D46C00"/>
    <w:rsid w:val="00D557C2"/>
    <w:rsid w:val="00D64514"/>
    <w:rsid w:val="00D64F32"/>
    <w:rsid w:val="00D66D4C"/>
    <w:rsid w:val="00D93CE4"/>
    <w:rsid w:val="00DA5071"/>
    <w:rsid w:val="00DA5209"/>
    <w:rsid w:val="00DC223E"/>
    <w:rsid w:val="00DD6A6C"/>
    <w:rsid w:val="00DE0E72"/>
    <w:rsid w:val="00DE6440"/>
    <w:rsid w:val="00DF733A"/>
    <w:rsid w:val="00E10A96"/>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91550"/>
    <w:rsid w:val="00E91A10"/>
    <w:rsid w:val="00EA27CB"/>
    <w:rsid w:val="00EA5EEB"/>
    <w:rsid w:val="00EA7874"/>
    <w:rsid w:val="00EB7480"/>
    <w:rsid w:val="00EB7DE6"/>
    <w:rsid w:val="00EB7F1A"/>
    <w:rsid w:val="00EC0002"/>
    <w:rsid w:val="00ED00A9"/>
    <w:rsid w:val="00ED5EE9"/>
    <w:rsid w:val="00EF062F"/>
    <w:rsid w:val="00EF68BF"/>
    <w:rsid w:val="00F06505"/>
    <w:rsid w:val="00F14A3E"/>
    <w:rsid w:val="00F15420"/>
    <w:rsid w:val="00F35195"/>
    <w:rsid w:val="00F36CDE"/>
    <w:rsid w:val="00F44E84"/>
    <w:rsid w:val="00F45BF1"/>
    <w:rsid w:val="00F5073D"/>
    <w:rsid w:val="00F548A9"/>
    <w:rsid w:val="00F54D8B"/>
    <w:rsid w:val="00F57D55"/>
    <w:rsid w:val="00F7009C"/>
    <w:rsid w:val="00F75801"/>
    <w:rsid w:val="00F92AF0"/>
    <w:rsid w:val="00F92F15"/>
    <w:rsid w:val="00F9624E"/>
    <w:rsid w:val="00FA05FB"/>
    <w:rsid w:val="00FA6221"/>
    <w:rsid w:val="00FB1347"/>
    <w:rsid w:val="00FB48D6"/>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72"/>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72"/>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4189C-F9E2-43C0-9458-78B23FF1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1364</Words>
  <Characters>7507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2018-10-18T22:32:00Z</cp:lastPrinted>
  <dcterms:created xsi:type="dcterms:W3CDTF">2018-10-18T22:37:00Z</dcterms:created>
  <dcterms:modified xsi:type="dcterms:W3CDTF">2018-11-21T02:30:00Z</dcterms:modified>
</cp:coreProperties>
</file>